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7C" w:rsidRDefault="0074757C" w:rsidP="0074757C">
      <w:pPr>
        <w:spacing w:after="0" w:line="480" w:lineRule="auto"/>
        <w:rPr>
          <w:rFonts w:ascii="Times New Roman" w:hAnsi="Times New Roman" w:cs="Times New Roman"/>
          <w:b/>
          <w:sz w:val="24"/>
          <w:szCs w:val="24"/>
        </w:rPr>
      </w:pPr>
    </w:p>
    <w:p w:rsidR="0074757C" w:rsidRDefault="0074757C" w:rsidP="0074757C">
      <w:pPr>
        <w:spacing w:after="0" w:line="480" w:lineRule="auto"/>
        <w:rPr>
          <w:rFonts w:ascii="Times New Roman" w:hAnsi="Times New Roman" w:cs="Times New Roman"/>
          <w:b/>
          <w:sz w:val="24"/>
          <w:szCs w:val="24"/>
        </w:rPr>
      </w:pPr>
    </w:p>
    <w:p w:rsidR="0074757C" w:rsidRDefault="0074757C" w:rsidP="0074757C">
      <w:pPr>
        <w:spacing w:after="0" w:line="480" w:lineRule="auto"/>
        <w:rPr>
          <w:rFonts w:ascii="Times New Roman" w:hAnsi="Times New Roman" w:cs="Times New Roman"/>
          <w:b/>
          <w:sz w:val="24"/>
          <w:szCs w:val="24"/>
        </w:rPr>
      </w:pPr>
    </w:p>
    <w:p w:rsidR="0074757C" w:rsidRDefault="0074757C" w:rsidP="0074757C">
      <w:pPr>
        <w:spacing w:after="0" w:line="480" w:lineRule="auto"/>
        <w:rPr>
          <w:rFonts w:ascii="Times New Roman" w:hAnsi="Times New Roman" w:cs="Times New Roman"/>
          <w:b/>
          <w:sz w:val="24"/>
          <w:szCs w:val="24"/>
        </w:rPr>
      </w:pPr>
    </w:p>
    <w:p w:rsidR="0074757C" w:rsidRDefault="0074757C" w:rsidP="0074757C">
      <w:pPr>
        <w:spacing w:after="0" w:line="480" w:lineRule="auto"/>
        <w:rPr>
          <w:rFonts w:ascii="Times New Roman" w:hAnsi="Times New Roman" w:cs="Times New Roman"/>
          <w:b/>
          <w:sz w:val="24"/>
          <w:szCs w:val="24"/>
        </w:rPr>
      </w:pPr>
    </w:p>
    <w:p w:rsidR="0074757C" w:rsidRDefault="0074757C" w:rsidP="0074757C">
      <w:pPr>
        <w:spacing w:after="0" w:line="480" w:lineRule="auto"/>
        <w:jc w:val="center"/>
        <w:rPr>
          <w:rFonts w:ascii="Times New Roman" w:hAnsi="Times New Roman" w:cs="Times New Roman"/>
          <w:b/>
          <w:sz w:val="24"/>
          <w:szCs w:val="24"/>
        </w:rPr>
      </w:pPr>
      <w:r w:rsidRPr="0074757C">
        <w:rPr>
          <w:rFonts w:ascii="Times New Roman" w:hAnsi="Times New Roman" w:cs="Times New Roman"/>
          <w:b/>
          <w:sz w:val="24"/>
          <w:szCs w:val="24"/>
        </w:rPr>
        <w:t>Legislated Ethics: From Enron to Sarbanes-Oxley, the Impact on Corporate America</w:t>
      </w:r>
    </w:p>
    <w:p w:rsidR="0074757C" w:rsidRDefault="0074757C" w:rsidP="0074757C">
      <w:pPr>
        <w:spacing w:after="0" w:line="480" w:lineRule="auto"/>
        <w:jc w:val="center"/>
        <w:rPr>
          <w:rFonts w:ascii="Times New Roman" w:hAnsi="Times New Roman" w:cs="Times New Roman"/>
          <w:b/>
          <w:sz w:val="24"/>
          <w:szCs w:val="24"/>
        </w:rPr>
      </w:pPr>
    </w:p>
    <w:p w:rsidR="0074757C" w:rsidRDefault="0074757C" w:rsidP="007475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4757C" w:rsidRDefault="0074757C" w:rsidP="007475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4757C" w:rsidRDefault="0074757C" w:rsidP="007475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4757C" w:rsidRDefault="0074757C" w:rsidP="007475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74757C" w:rsidRPr="0074757C" w:rsidRDefault="0074757C" w:rsidP="007475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4757C" w:rsidRDefault="0074757C">
      <w:pPr>
        <w:rPr>
          <w:rFonts w:ascii="Times New Roman" w:hAnsi="Times New Roman" w:cs="Times New Roman"/>
          <w:b/>
          <w:sz w:val="24"/>
          <w:szCs w:val="24"/>
        </w:rPr>
      </w:pPr>
      <w:r>
        <w:rPr>
          <w:rFonts w:ascii="Times New Roman" w:hAnsi="Times New Roman" w:cs="Times New Roman"/>
          <w:b/>
          <w:sz w:val="24"/>
          <w:szCs w:val="24"/>
        </w:rPr>
        <w:br w:type="page"/>
      </w:r>
    </w:p>
    <w:p w:rsidR="00C86A8E" w:rsidRPr="007B573D" w:rsidRDefault="00C6032F" w:rsidP="007B573D">
      <w:pPr>
        <w:spacing w:after="0" w:line="480" w:lineRule="auto"/>
        <w:jc w:val="center"/>
        <w:rPr>
          <w:rFonts w:ascii="Times New Roman" w:hAnsi="Times New Roman" w:cs="Times New Roman"/>
          <w:b/>
          <w:sz w:val="24"/>
          <w:szCs w:val="24"/>
        </w:rPr>
      </w:pPr>
      <w:r w:rsidRPr="007B573D">
        <w:rPr>
          <w:rFonts w:ascii="Times New Roman" w:hAnsi="Times New Roman" w:cs="Times New Roman"/>
          <w:b/>
          <w:sz w:val="24"/>
          <w:szCs w:val="24"/>
        </w:rPr>
        <w:lastRenderedPageBreak/>
        <w:t>Legislated Ethics: From Enron to Sarbanes-Oxley, the Impact on Corporate America</w:t>
      </w:r>
    </w:p>
    <w:p w:rsidR="004462DA" w:rsidRDefault="00C6032F" w:rsidP="004462DA">
      <w:pPr>
        <w:spacing w:after="0" w:line="480" w:lineRule="auto"/>
        <w:ind w:firstLine="720"/>
        <w:rPr>
          <w:rFonts w:ascii="Times New Roman" w:hAnsi="Times New Roman" w:cs="Times New Roman"/>
          <w:sz w:val="24"/>
          <w:szCs w:val="24"/>
        </w:rPr>
      </w:pPr>
      <w:r w:rsidRPr="004462DA">
        <w:rPr>
          <w:rFonts w:ascii="Times New Roman" w:hAnsi="Times New Roman" w:cs="Times New Roman"/>
          <w:sz w:val="24"/>
          <w:szCs w:val="24"/>
        </w:rPr>
        <w:t xml:space="preserve">This culminating Senior Honors Study, which focuses on the Sarbanes-Oxley Act of 2002, is divided into parts that outline the main components of this critical law. Issues </w:t>
      </w:r>
      <w:r w:rsidRPr="004462DA">
        <w:rPr>
          <w:rFonts w:ascii="Times New Roman" w:hAnsi="Times New Roman" w:cs="Times New Roman"/>
          <w:sz w:val="24"/>
          <w:szCs w:val="24"/>
        </w:rPr>
        <w:t>like the Act's inspiration, requirements, present challenges, and the costs and rewards for conforming firms are discussed throughout the article. The Sarbanes-Oxley Act is presented in the following subsections.</w:t>
      </w:r>
    </w:p>
    <w:p w:rsidR="004462DA" w:rsidRDefault="00C6032F" w:rsidP="004462DA">
      <w:pPr>
        <w:spacing w:after="0" w:line="480" w:lineRule="auto"/>
        <w:ind w:firstLine="720"/>
        <w:rPr>
          <w:rFonts w:ascii="Times New Roman" w:hAnsi="Times New Roman" w:cs="Times New Roman"/>
          <w:sz w:val="24"/>
          <w:szCs w:val="24"/>
        </w:rPr>
      </w:pPr>
      <w:r w:rsidRPr="004462DA">
        <w:rPr>
          <w:rFonts w:ascii="Times New Roman" w:hAnsi="Times New Roman" w:cs="Times New Roman"/>
          <w:sz w:val="24"/>
          <w:szCs w:val="24"/>
        </w:rPr>
        <w:t>When the media-fueled Enron and other large</w:t>
      </w:r>
      <w:r w:rsidRPr="004462DA">
        <w:rPr>
          <w:rFonts w:ascii="Times New Roman" w:hAnsi="Times New Roman" w:cs="Times New Roman"/>
          <w:sz w:val="24"/>
          <w:szCs w:val="24"/>
        </w:rPr>
        <w:t xml:space="preserve"> company scandals broke, there was a slew of consequences. First and foremost, the government's faith in corporate America began to erode. In reaction, the United States Congress proposed and approved the Sarbanes-Oxley Act of 2002. This statute holds uppe</w:t>
      </w:r>
      <w:r w:rsidRPr="004462DA">
        <w:rPr>
          <w:rFonts w:ascii="Times New Roman" w:hAnsi="Times New Roman" w:cs="Times New Roman"/>
          <w:sz w:val="24"/>
          <w:szCs w:val="24"/>
        </w:rPr>
        <w:t>r-level executives of openly listed corporations personally liable for all accounting transactions and statements. This was done for top executives to regulate data and restore public faith in financial regulation in the United States. Sarbanes-Oxley is in</w:t>
      </w:r>
      <w:r w:rsidRPr="004462DA">
        <w:rPr>
          <w:rFonts w:ascii="Times New Roman" w:hAnsi="Times New Roman" w:cs="Times New Roman"/>
          <w:sz w:val="24"/>
          <w:szCs w:val="24"/>
        </w:rPr>
        <w:t>tended to "compensate investors by enhancing the sensitivity and dependability of company information disclosed according to the securities act, and other reasons," according to the legislation enacted by Congr</w:t>
      </w:r>
      <w:r>
        <w:rPr>
          <w:rFonts w:ascii="Times New Roman" w:hAnsi="Times New Roman" w:cs="Times New Roman"/>
          <w:sz w:val="24"/>
          <w:szCs w:val="24"/>
        </w:rPr>
        <w:t>ess.</w:t>
      </w:r>
    </w:p>
    <w:p w:rsidR="004462DA" w:rsidRDefault="00C6032F" w:rsidP="004462DA">
      <w:pPr>
        <w:spacing w:after="0" w:line="480" w:lineRule="auto"/>
        <w:ind w:firstLine="720"/>
        <w:rPr>
          <w:rFonts w:ascii="Times New Roman" w:hAnsi="Times New Roman" w:cs="Times New Roman"/>
          <w:sz w:val="24"/>
          <w:szCs w:val="24"/>
        </w:rPr>
      </w:pPr>
      <w:bookmarkStart w:id="0" w:name="_GoBack"/>
      <w:bookmarkEnd w:id="0"/>
      <w:r w:rsidRPr="004462DA">
        <w:rPr>
          <w:rFonts w:ascii="Times New Roman" w:hAnsi="Times New Roman" w:cs="Times New Roman"/>
          <w:sz w:val="24"/>
          <w:szCs w:val="24"/>
        </w:rPr>
        <w:t>Sarbanes-Oxley mandates a company's board</w:t>
      </w:r>
      <w:r w:rsidRPr="004462DA">
        <w:rPr>
          <w:rFonts w:ascii="Times New Roman" w:hAnsi="Times New Roman" w:cs="Times New Roman"/>
          <w:sz w:val="24"/>
          <w:szCs w:val="24"/>
        </w:rPr>
        <w:t xml:space="preserve"> of directors to verify each accounting record or piece of information. Because the legislation concentrates on the reliability of financial data, it also necessitates the development of internal accounting records. Because security is a significant concer</w:t>
      </w:r>
      <w:r w:rsidRPr="004462DA">
        <w:rPr>
          <w:rFonts w:ascii="Times New Roman" w:hAnsi="Times New Roman" w:cs="Times New Roman"/>
          <w:sz w:val="24"/>
          <w:szCs w:val="24"/>
        </w:rPr>
        <w:t>n, a genuine dialogue between senior security and management personnel is essential. A company's board of directors will have to be more "hands-on" in its operations. This causes governments to control the company, blurring the conventional line between th</w:t>
      </w:r>
      <w:r w:rsidRPr="004462DA">
        <w:rPr>
          <w:rFonts w:ascii="Times New Roman" w:hAnsi="Times New Roman" w:cs="Times New Roman"/>
          <w:sz w:val="24"/>
          <w:szCs w:val="24"/>
        </w:rPr>
        <w:t>e management of the company of directors. The Sarbanes-Oxley Act is a powerful influence in a firm because of all of these elements. To satisfy the expectations and standards imposed by this Act, sever</w:t>
      </w:r>
      <w:r>
        <w:rPr>
          <w:rFonts w:ascii="Times New Roman" w:hAnsi="Times New Roman" w:cs="Times New Roman"/>
          <w:sz w:val="24"/>
          <w:szCs w:val="24"/>
        </w:rPr>
        <w:t>al adjustments are required.</w:t>
      </w:r>
    </w:p>
    <w:p w:rsidR="00AC1248" w:rsidRPr="00AC1248" w:rsidRDefault="00C6032F" w:rsidP="004462DA">
      <w:pPr>
        <w:spacing w:after="0" w:line="480" w:lineRule="auto"/>
        <w:ind w:firstLine="720"/>
        <w:rPr>
          <w:rFonts w:ascii="Times New Roman" w:hAnsi="Times New Roman" w:cs="Times New Roman"/>
          <w:sz w:val="24"/>
          <w:szCs w:val="24"/>
        </w:rPr>
      </w:pPr>
      <w:r w:rsidRPr="004462DA">
        <w:rPr>
          <w:rFonts w:ascii="Times New Roman" w:hAnsi="Times New Roman" w:cs="Times New Roman"/>
          <w:sz w:val="24"/>
          <w:szCs w:val="24"/>
        </w:rPr>
        <w:t>To summarize, the Sarbanes</w:t>
      </w:r>
      <w:r w:rsidRPr="004462DA">
        <w:rPr>
          <w:rFonts w:ascii="Times New Roman" w:hAnsi="Times New Roman" w:cs="Times New Roman"/>
          <w:sz w:val="24"/>
          <w:szCs w:val="24"/>
        </w:rPr>
        <w:t>-Oxley Act of 2002 is among the most complicated and convoluted legislative proposals ever enacted by the US Congress. There are certainly many aspects of Sarbanes-Oxley which have not been addressed. Articles 302 and 404, on the other hand, are the most c</w:t>
      </w:r>
      <w:r w:rsidRPr="004462DA">
        <w:rPr>
          <w:rFonts w:ascii="Times New Roman" w:hAnsi="Times New Roman" w:cs="Times New Roman"/>
          <w:sz w:val="24"/>
          <w:szCs w:val="24"/>
        </w:rPr>
        <w:t>ostly and time-consuming components of Sarbanes-Oxley for businesses. Public businesses, auditors, and other organizations have together spent a fortune on installation expenses, consultancy fees, and staff training. While costs vary depending on various c</w:t>
      </w:r>
      <w:r w:rsidRPr="004462DA">
        <w:rPr>
          <w:rFonts w:ascii="Times New Roman" w:hAnsi="Times New Roman" w:cs="Times New Roman"/>
          <w:sz w:val="24"/>
          <w:szCs w:val="24"/>
        </w:rPr>
        <w:t>riteria like the organization's size, the advantages should ultimately surpass the expenditures. The use of technology in corporate compliance has resulted in increased efficiency and cost savings. One of the goals of this regulation was to make businesses</w:t>
      </w:r>
      <w:r w:rsidRPr="004462DA">
        <w:rPr>
          <w:rFonts w:ascii="Times New Roman" w:hAnsi="Times New Roman" w:cs="Times New Roman"/>
          <w:sz w:val="24"/>
          <w:szCs w:val="24"/>
        </w:rPr>
        <w:t xml:space="preserve"> more ethical and efficient. While it is difficult to convert a company culture that has tolerated improper behavior often, it is clear that compliance processes enable firms to fulfill these high standards.</w:t>
      </w:r>
    </w:p>
    <w:sectPr w:rsidR="00AC1248" w:rsidRPr="00AC124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32F" w:rsidRDefault="00C6032F" w:rsidP="0074757C">
      <w:pPr>
        <w:spacing w:after="0" w:line="240" w:lineRule="auto"/>
      </w:pPr>
      <w:r>
        <w:separator/>
      </w:r>
    </w:p>
  </w:endnote>
  <w:endnote w:type="continuationSeparator" w:id="0">
    <w:p w:rsidR="00C6032F" w:rsidRDefault="00C6032F" w:rsidP="00747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32F" w:rsidRDefault="00C6032F" w:rsidP="0074757C">
      <w:pPr>
        <w:spacing w:after="0" w:line="240" w:lineRule="auto"/>
      </w:pPr>
      <w:r>
        <w:separator/>
      </w:r>
    </w:p>
  </w:footnote>
  <w:footnote w:type="continuationSeparator" w:id="0">
    <w:p w:rsidR="00C6032F" w:rsidRDefault="00C6032F" w:rsidP="00747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8763869"/>
      <w:docPartObj>
        <w:docPartGallery w:val="Page Numbers (Top of Page)"/>
        <w:docPartUnique/>
      </w:docPartObj>
    </w:sdtPr>
    <w:sdtEndPr>
      <w:rPr>
        <w:noProof/>
      </w:rPr>
    </w:sdtEndPr>
    <w:sdtContent>
      <w:p w:rsidR="0074757C" w:rsidRDefault="0074757C">
        <w:pPr>
          <w:pStyle w:val="Header"/>
          <w:jc w:val="right"/>
        </w:pPr>
        <w:r>
          <w:fldChar w:fldCharType="begin"/>
        </w:r>
        <w:r>
          <w:instrText xml:space="preserve"> PAGE   \* MERGEFORMAT </w:instrText>
        </w:r>
        <w:r>
          <w:fldChar w:fldCharType="separate"/>
        </w:r>
        <w:r w:rsidR="00C6032F">
          <w:rPr>
            <w:noProof/>
          </w:rPr>
          <w:t>1</w:t>
        </w:r>
        <w:r>
          <w:rPr>
            <w:noProof/>
          </w:rPr>
          <w:fldChar w:fldCharType="end"/>
        </w:r>
      </w:p>
    </w:sdtContent>
  </w:sdt>
  <w:p w:rsidR="0074757C" w:rsidRDefault="007475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248"/>
    <w:rsid w:val="004462DA"/>
    <w:rsid w:val="0074757C"/>
    <w:rsid w:val="007B573D"/>
    <w:rsid w:val="00AC1248"/>
    <w:rsid w:val="00C6032F"/>
    <w:rsid w:val="00C86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57C"/>
  </w:style>
  <w:style w:type="paragraph" w:styleId="Footer">
    <w:name w:val="footer"/>
    <w:basedOn w:val="Normal"/>
    <w:link w:val="FooterChar"/>
    <w:uiPriority w:val="99"/>
    <w:unhideWhenUsed/>
    <w:rsid w:val="00747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5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57C"/>
  </w:style>
  <w:style w:type="paragraph" w:styleId="Footer">
    <w:name w:val="footer"/>
    <w:basedOn w:val="Normal"/>
    <w:link w:val="FooterChar"/>
    <w:uiPriority w:val="99"/>
    <w:unhideWhenUsed/>
    <w:rsid w:val="00747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2021-11-01T08:00:00Z</dcterms:created>
  <dcterms:modified xsi:type="dcterms:W3CDTF">2021-11-01T08:44:00Z</dcterms:modified>
</cp:coreProperties>
</file>